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34C04" w14:textId="77777777" w:rsidR="00DD6F93" w:rsidRDefault="00E56A32">
      <w:pPr>
        <w:spacing w:after="0" w:line="265" w:lineRule="auto"/>
        <w:ind w:left="850"/>
        <w:jc w:val="center"/>
      </w:pPr>
      <w:r>
        <w:rPr>
          <w:noProof/>
        </w:rPr>
        <w:drawing>
          <wp:anchor distT="0" distB="0" distL="114300" distR="114300" simplePos="0" relativeHeight="251658240" behindDoc="0" locked="0" layoutInCell="1" allowOverlap="0" wp14:anchorId="1E3919C5" wp14:editId="0F9E6F04">
            <wp:simplePos x="0" y="0"/>
            <wp:positionH relativeFrom="column">
              <wp:posOffset>533400</wp:posOffset>
            </wp:positionH>
            <wp:positionV relativeFrom="paragraph">
              <wp:posOffset>-27990</wp:posOffset>
            </wp:positionV>
            <wp:extent cx="685800" cy="68580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4"/>
                    <a:stretch>
                      <a:fillRect/>
                    </a:stretch>
                  </pic:blipFill>
                  <pic:spPr>
                    <a:xfrm>
                      <a:off x="0" y="0"/>
                      <a:ext cx="685800" cy="685800"/>
                    </a:xfrm>
                    <a:prstGeom prst="rect">
                      <a:avLst/>
                    </a:prstGeom>
                  </pic:spPr>
                </pic:pic>
              </a:graphicData>
            </a:graphic>
          </wp:anchor>
        </w:drawing>
      </w:r>
      <w:r>
        <w:t>T.C.</w:t>
      </w:r>
    </w:p>
    <w:p w14:paraId="5FF7E52E" w14:textId="77777777" w:rsidR="00DD6F93" w:rsidRDefault="00E56A32">
      <w:pPr>
        <w:spacing w:after="0" w:line="265" w:lineRule="auto"/>
        <w:ind w:left="850"/>
        <w:jc w:val="center"/>
      </w:pPr>
      <w:r>
        <w:t>ENERJİ VE TABİİ KAYNAKLAR BAKANLIĞI</w:t>
      </w:r>
    </w:p>
    <w:p w14:paraId="44200A99" w14:textId="77777777" w:rsidR="00DD6F93" w:rsidRDefault="00E56A32">
      <w:pPr>
        <w:spacing w:after="468" w:line="265" w:lineRule="auto"/>
        <w:ind w:left="850"/>
        <w:jc w:val="center"/>
      </w:pPr>
      <w:r>
        <w:t>Enerji Verimliliği ve Çevre Dairesi Başkanlığı</w:t>
      </w:r>
    </w:p>
    <w:p w14:paraId="1C437736" w14:textId="77777777" w:rsidR="00DD6F93" w:rsidRDefault="00E56A32">
      <w:pPr>
        <w:spacing w:after="15" w:line="259" w:lineRule="auto"/>
        <w:ind w:left="0" w:firstLine="0"/>
        <w:jc w:val="left"/>
      </w:pPr>
      <w:r>
        <w:t xml:space="preserve"> </w:t>
      </w:r>
    </w:p>
    <w:p w14:paraId="63410E1C" w14:textId="77777777" w:rsidR="00DD6F93" w:rsidRDefault="00E56A32">
      <w:pPr>
        <w:spacing w:after="0" w:line="259" w:lineRule="auto"/>
        <w:ind w:left="0" w:firstLine="0"/>
        <w:jc w:val="left"/>
      </w:pPr>
      <w:r>
        <w:t xml:space="preserve"> </w:t>
      </w:r>
    </w:p>
    <w:p w14:paraId="51C72A8D" w14:textId="198018D9" w:rsidR="00DD6F93" w:rsidRDefault="00E56A32">
      <w:pPr>
        <w:tabs>
          <w:tab w:val="center" w:pos="1038"/>
          <w:tab w:val="center" w:pos="2859"/>
          <w:tab w:val="right" w:pos="11085"/>
        </w:tabs>
        <w:spacing w:after="74"/>
        <w:ind w:left="0" w:firstLine="0"/>
        <w:jc w:val="left"/>
      </w:pPr>
      <w:r>
        <w:rPr>
          <w:rFonts w:ascii="Calibri" w:eastAsia="Calibri" w:hAnsi="Calibri" w:cs="Calibri"/>
          <w:sz w:val="22"/>
        </w:rPr>
        <w:tab/>
      </w:r>
      <w:r>
        <w:tab/>
      </w:r>
    </w:p>
    <w:p w14:paraId="60B85004" w14:textId="77777777" w:rsidR="00DD6F93" w:rsidRDefault="00E56A32">
      <w:pPr>
        <w:tabs>
          <w:tab w:val="center" w:pos="1092"/>
          <w:tab w:val="center" w:pos="3259"/>
        </w:tabs>
        <w:ind w:left="0" w:firstLine="0"/>
        <w:jc w:val="left"/>
      </w:pPr>
      <w:r>
        <w:rPr>
          <w:rFonts w:ascii="Calibri" w:eastAsia="Calibri" w:hAnsi="Calibri" w:cs="Calibri"/>
          <w:sz w:val="22"/>
        </w:rPr>
        <w:tab/>
      </w:r>
      <w:r>
        <w:t>Konu</w:t>
      </w:r>
      <w:r>
        <w:tab/>
        <w:t>:Sanayide Enerji Verimliliği Proje</w:t>
      </w:r>
    </w:p>
    <w:p w14:paraId="19E29FC4" w14:textId="77777777" w:rsidR="00DD6F93" w:rsidRDefault="00E56A32">
      <w:pPr>
        <w:spacing w:after="37"/>
        <w:ind w:left="1714"/>
      </w:pPr>
      <w:r>
        <w:t>Yarışmaları(SENVER)</w:t>
      </w:r>
    </w:p>
    <w:p w14:paraId="2617F4C7" w14:textId="77777777" w:rsidR="00DD6F93" w:rsidRDefault="00E56A32">
      <w:pPr>
        <w:spacing w:after="75" w:line="259" w:lineRule="auto"/>
        <w:ind w:left="0" w:firstLine="0"/>
        <w:jc w:val="left"/>
      </w:pPr>
      <w:r>
        <w:t xml:space="preserve"> </w:t>
      </w:r>
    </w:p>
    <w:p w14:paraId="00163037" w14:textId="77777777" w:rsidR="00DD6F93" w:rsidRDefault="00E56A32">
      <w:pPr>
        <w:ind w:left="2635"/>
      </w:pPr>
      <w:r>
        <w:t>TÜRKİYE ODALAR VE BORSALAR BİRLİĞİ BAŞKANLIĞINA</w:t>
      </w:r>
    </w:p>
    <w:p w14:paraId="6E44711D" w14:textId="77777777" w:rsidR="00DD6F93" w:rsidRDefault="00E56A32">
      <w:pPr>
        <w:spacing w:after="75" w:line="259" w:lineRule="auto"/>
        <w:ind w:left="0" w:firstLine="0"/>
        <w:jc w:val="left"/>
      </w:pPr>
      <w:r>
        <w:t xml:space="preserve"> </w:t>
      </w:r>
    </w:p>
    <w:p w14:paraId="52B45C26" w14:textId="77777777" w:rsidR="00DD6F93" w:rsidRDefault="00E56A32">
      <w:pPr>
        <w:ind w:left="820"/>
      </w:pPr>
      <w:r>
        <w:rPr>
          <w:noProof/>
        </w:rPr>
        <w:drawing>
          <wp:inline distT="0" distB="0" distL="0" distR="0" wp14:anchorId="4C1594C4" wp14:editId="72F8F266">
            <wp:extent cx="438150" cy="952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
                    <a:stretch>
                      <a:fillRect/>
                    </a:stretch>
                  </pic:blipFill>
                  <pic:spPr>
                    <a:xfrm>
                      <a:off x="0" y="0"/>
                      <a:ext cx="438150" cy="9525"/>
                    </a:xfrm>
                    <a:prstGeom prst="rect">
                      <a:avLst/>
                    </a:prstGeom>
                  </pic:spPr>
                </pic:pic>
              </a:graphicData>
            </a:graphic>
          </wp:inline>
        </w:drawing>
      </w:r>
      <w:r>
        <w:t>Bakanlığımız tarafından yürütülen çalışmalarda; enerjinin etkin kullanılması, israfının önlenmesi, enerji maliyetlerinin ekonomi üzerindeki yükünün hafifletilmesi ve çevrenin korunması için enerji kaynaklarının ve enerjinin kullanımında verimliliğin artırı</w:t>
      </w:r>
      <w:r>
        <w:t>lması amaçlanmaktadır. Bu kapsamda, Bakanlığımız tarafından eylemlerin uygulanmasının koordinasyonu ve izlemesi yapılan 2. Ulusal Enerji Verimliliği Eylem Planı (UEVEP) ile 2030 yılına kadar Ülkemizde 20,2 milyar dolar yatırım yapılması ve böylelikle enerj</w:t>
      </w:r>
      <w:r>
        <w:t xml:space="preserve">i tüketimimizin olağan duruma göre %16 azaltılması ve 100 milyon ton emisyon </w:t>
      </w:r>
      <w:proofErr w:type="spellStart"/>
      <w:r>
        <w:t>azaltımına</w:t>
      </w:r>
      <w:proofErr w:type="spellEnd"/>
      <w:r>
        <w:t xml:space="preserve"> katkıda bulunması hedeflenmiştir. Üretimden nihai tüketime kadar bütün süreçlerde enerji verimliliğinin arttırılmasına yönelik 61 eylem ve 266 faaliyet belirlenmiştir. </w:t>
      </w:r>
      <w:r>
        <w:t xml:space="preserve">Ülkemizin en büyük enerji tüketicisi olan sanayi sektörü 2. </w:t>
      </w:r>
      <w:proofErr w:type="spellStart"/>
      <w:r>
        <w:t>UEVEP'te</w:t>
      </w:r>
      <w:proofErr w:type="spellEnd"/>
      <w:r>
        <w:t xml:space="preserve"> </w:t>
      </w:r>
      <w:proofErr w:type="spellStart"/>
      <w:r>
        <w:t>önceliklendirilen</w:t>
      </w:r>
      <w:proofErr w:type="spellEnd"/>
      <w:r>
        <w:t xml:space="preserve"> alanlardan biridir.</w:t>
      </w:r>
    </w:p>
    <w:p w14:paraId="6C3FF398" w14:textId="77777777" w:rsidR="00DD6F93" w:rsidRDefault="00E56A32">
      <w:pPr>
        <w:ind w:left="82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3783308" wp14:editId="454A9D09">
                <wp:simplePos x="0" y="0"/>
                <wp:positionH relativeFrom="page">
                  <wp:posOffset>1196975</wp:posOffset>
                </wp:positionH>
                <wp:positionV relativeFrom="page">
                  <wp:posOffset>10488676</wp:posOffset>
                </wp:positionV>
                <wp:extent cx="2060702" cy="7620"/>
                <wp:effectExtent l="0" t="0" r="0" b="0"/>
                <wp:wrapTopAndBottom/>
                <wp:docPr id="807" name="Group 807"/>
                <wp:cNvGraphicFramePr/>
                <a:graphic xmlns:a="http://schemas.openxmlformats.org/drawingml/2006/main">
                  <a:graphicData uri="http://schemas.microsoft.com/office/word/2010/wordprocessingGroup">
                    <wpg:wgp>
                      <wpg:cNvGrpSpPr/>
                      <wpg:grpSpPr>
                        <a:xfrm>
                          <a:off x="0" y="0"/>
                          <a:ext cx="2060702" cy="7620"/>
                          <a:chOff x="0" y="0"/>
                          <a:chExt cx="2060702" cy="7620"/>
                        </a:xfrm>
                      </wpg:grpSpPr>
                      <wps:wsp>
                        <wps:cNvPr id="65" name="Shape 65"/>
                        <wps:cNvSpPr/>
                        <wps:spPr>
                          <a:xfrm>
                            <a:off x="0" y="0"/>
                            <a:ext cx="2060702" cy="0"/>
                          </a:xfrm>
                          <a:custGeom>
                            <a:avLst/>
                            <a:gdLst/>
                            <a:ahLst/>
                            <a:cxnLst/>
                            <a:rect l="0" t="0" r="0" b="0"/>
                            <a:pathLst>
                              <a:path w="2060702">
                                <a:moveTo>
                                  <a:pt x="0" y="0"/>
                                </a:moveTo>
                                <a:lnTo>
                                  <a:pt x="2060702" y="0"/>
                                </a:lnTo>
                              </a:path>
                            </a:pathLst>
                          </a:custGeom>
                          <a:ln w="7620" cap="flat">
                            <a:miter lim="127000"/>
                          </a:ln>
                        </wps:spPr>
                        <wps:style>
                          <a:lnRef idx="1">
                            <a:srgbClr val="0000F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7" style="width:162.26pt;height:0.6pt;position:absolute;mso-position-horizontal-relative:page;mso-position-horizontal:absolute;margin-left:94.25pt;mso-position-vertical-relative:page;margin-top:825.88pt;" coordsize="20607,76">
                <v:shape id="Shape 65" style="position:absolute;width:20607;height:0;left:0;top:0;" coordsize="2060702,0" path="m0,0l2060702,0">
                  <v:stroke weight="0.6pt" endcap="flat" joinstyle="miter" miterlimit="10" on="true" color="#0000ff"/>
                  <v:fill on="false" color="#000000" opacity="0"/>
                </v:shape>
                <w10:wrap type="topAndBottom"/>
              </v:group>
            </w:pict>
          </mc:Fallback>
        </mc:AlternateContent>
      </w:r>
      <w:r>
        <w:rPr>
          <w:noProof/>
        </w:rPr>
        <w:drawing>
          <wp:inline distT="0" distB="0" distL="0" distR="0" wp14:anchorId="5A774805" wp14:editId="2D12DB48">
            <wp:extent cx="438150" cy="952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5"/>
                    <a:stretch>
                      <a:fillRect/>
                    </a:stretch>
                  </pic:blipFill>
                  <pic:spPr>
                    <a:xfrm>
                      <a:off x="0" y="0"/>
                      <a:ext cx="438150" cy="9525"/>
                    </a:xfrm>
                    <a:prstGeom prst="rect">
                      <a:avLst/>
                    </a:prstGeom>
                  </pic:spPr>
                </pic:pic>
              </a:graphicData>
            </a:graphic>
          </wp:inline>
        </w:drawing>
      </w:r>
      <w:r>
        <w:t>Bu itibarla, endüstriyel işletmelerimizin uyguladığı enerji verimli ve çevreye duyarlı projelerin ve teknolojilerin ortaya çıkarılması, tanıtılması</w:t>
      </w:r>
      <w:r>
        <w:t xml:space="preserve"> ve yaygınlaştırılması, endüstriyel işletmeler arası bilgi alışverişinin artırılması, enerji verimliliği konusunda yeni ve benzer çalışmaların teşvik edilmesi amacıyla her yıl Sanayide Enerji Verimliliği Proje Yarışmaları (SENVER) düzenlenmektedir.</w:t>
      </w:r>
    </w:p>
    <w:p w14:paraId="6C710D98" w14:textId="77777777" w:rsidR="00DD6F93" w:rsidRDefault="00E56A32">
      <w:pPr>
        <w:ind w:left="820"/>
      </w:pPr>
      <w:r>
        <w:rPr>
          <w:noProof/>
        </w:rPr>
        <w:drawing>
          <wp:inline distT="0" distB="0" distL="0" distR="0" wp14:anchorId="47732F79" wp14:editId="28F11863">
            <wp:extent cx="438150" cy="952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
                    <a:stretch>
                      <a:fillRect/>
                    </a:stretch>
                  </pic:blipFill>
                  <pic:spPr>
                    <a:xfrm>
                      <a:off x="0" y="0"/>
                      <a:ext cx="438150" cy="9525"/>
                    </a:xfrm>
                    <a:prstGeom prst="rect">
                      <a:avLst/>
                    </a:prstGeom>
                  </pic:spPr>
                </pic:pic>
              </a:graphicData>
            </a:graphic>
          </wp:inline>
        </w:drawing>
      </w:r>
      <w:r>
        <w:t>Bu yıl</w:t>
      </w:r>
      <w:r>
        <w:t xml:space="preserve"> 25.'si düzenlenen SENVER-25 Proje Yarışmasına 01/01/2023 tarihinden sonra tamamlanmış projeler ile </w:t>
      </w:r>
      <w:r>
        <w:rPr>
          <w:b/>
          <w:u w:val="single" w:color="000000"/>
        </w:rPr>
        <w:t>28 Şubat 2025 tarihine kad</w:t>
      </w:r>
      <w:r>
        <w:rPr>
          <w:b/>
        </w:rPr>
        <w:t>ar</w:t>
      </w:r>
      <w:r>
        <w:t xml:space="preserve"> başvuru yapılabilmektedir. SENVER-25 Proje Yarışması başvuru kılavuzuna </w:t>
      </w:r>
      <w:r>
        <w:rPr>
          <w:color w:val="0000FF"/>
          <w:u w:val="single" w:color="0000FF"/>
        </w:rPr>
        <w:t>https://enerji.gov.tr/duyuru-detay?id=30503</w:t>
      </w:r>
      <w:r>
        <w:t xml:space="preserve"> adresinden,</w:t>
      </w:r>
      <w:r>
        <w:t xml:space="preserve"> erişim sağlayabilirsiniz. SENVER-25'in ödül töreninin Mayıs 2025 İstanbul'da Uluslararası Enerji Verimliliği Forum ve Fuarı'nda Sayın Bakanımızın teşrifleriyle gerçekleştirilmesi planlanmaktadır. SENVER-25 yarışmasına sanayi tesislerimizin katılımını teşv</w:t>
      </w:r>
      <w:r>
        <w:t>ik etmek maksadıyla konunun Kurumunuza bağlı sanayi ve ticaret odaları bünyesinde faaliyet gösteren işletmelere duyurulması hususunda bilgilerinizi ve gereğini rica ederim.</w:t>
      </w:r>
    </w:p>
    <w:p w14:paraId="48237854" w14:textId="77777777" w:rsidR="00DD6F93" w:rsidRDefault="00E56A32">
      <w:pPr>
        <w:spacing w:after="60" w:line="259" w:lineRule="auto"/>
        <w:ind w:left="0" w:firstLine="0"/>
        <w:jc w:val="left"/>
      </w:pPr>
      <w:r>
        <w:t xml:space="preserve"> </w:t>
      </w:r>
    </w:p>
    <w:p w14:paraId="2BC77751" w14:textId="6245EB23" w:rsidR="00DD6F93" w:rsidRDefault="00E56A32" w:rsidP="00E56A32">
      <w:pPr>
        <w:tabs>
          <w:tab w:val="center" w:pos="3335"/>
          <w:tab w:val="right" w:pos="11085"/>
        </w:tabs>
        <w:spacing w:after="3" w:line="259" w:lineRule="auto"/>
        <w:ind w:left="0" w:right="-15" w:firstLine="0"/>
        <w:jc w:val="left"/>
      </w:pPr>
      <w:r>
        <w:rPr>
          <w:rFonts w:ascii="Calibri" w:eastAsia="Calibri" w:hAnsi="Calibri" w:cs="Calibri"/>
          <w:sz w:val="22"/>
        </w:rPr>
        <w:tab/>
      </w:r>
    </w:p>
    <w:sectPr w:rsidR="00DD6F93" w:rsidSect="00E56A32">
      <w:pgSz w:w="11906" w:h="16838"/>
      <w:pgMar w:top="238" w:right="821" w:bottom="144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F93"/>
    <w:rsid w:val="00DD6F93"/>
    <w:rsid w:val="00E56A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267A"/>
  <w15:docId w15:val="{5524925B-8D9A-42F0-8944-3FA1C694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7" w:lineRule="auto"/>
      <w:ind w:left="835"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2025-01-28T10:19:00Z</dcterms:created>
  <dcterms:modified xsi:type="dcterms:W3CDTF">2025-01-28T10:19:00Z</dcterms:modified>
</cp:coreProperties>
</file>